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2</w:t>
      </w: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Zadanie nr 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Analizator parametrów krytycznych</w:t>
      </w:r>
    </w:p>
    <w:tbl>
      <w:tblPr/>
      <w:tblGrid>
        <w:gridCol w:w="653"/>
        <w:gridCol w:w="6436"/>
        <w:gridCol w:w="1701"/>
        <w:gridCol w:w="1847"/>
      </w:tblGrid>
      <w:tr>
        <w:trPr>
          <w:trHeight w:val="658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Lp.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Parametry wymagane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Parametr wymagany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Parametr oferowany</w:t>
            </w: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Model fabrycznie nowy 2018 rok, gwarancja min 36 miesi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ący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4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2.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Parametry wymagane: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pH, pCO2, pO2, Na+, K+, Ca++, Glu, Lac, Hct,Crea, Cl- cTCO2, cHCO3-, BE(ecf), BE(b), cSO2, cHgb, eGFR, eGFR-a, Agap, AGap do K+, parametry toksykologiczne, narkotyki, benzodiazepiny itp.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3.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żliwość oznaczania wszystkich parametrów wymaganych za pomocą jednego panelu podczas jednego badania.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4.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Obj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ętość próbki - nie większa niż 100 ul.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6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5.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żliwość podawania próbki badanej zarówno ze strzykawki jak i kapilary.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6.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Odczynniki przechowywane w temperaturze pokojowej, minimum 3 miesi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ące.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7.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Odczynniki po otwarciu opakowania, 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żna wykorzystać do końca daty ważności minimum 3 miesiące.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8.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Podawanie materia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łu do badania standardową strzykawka.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11.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Rodzaj próbki: krew pe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łna, tętnicza, krew włośniczkowa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12.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Obs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ługa analizatora przy pomocy ekranu dotykowego.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13.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Automatyczny system kontroli jako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ści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14.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Praca bez konieczno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ści używania dodatkowych elektrod, płynów czy butli z gazem.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15.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Czytnik kodów kreskowych i 2D, wbudowany w analizator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16.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Wbudowana bateria umo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żliwiająca pracę przez okres min 12 godzin bez zasilania sieciowego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14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17.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Po up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ływie 12 m-cy jeden bezpłatny przegląd serwisowy, od daty instalacji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18.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Menu analizatora w j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ęzyku polskim.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19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żliwość podłączenia aparatu do LIS/ HIS bezprzewodowo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2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20.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Bezpo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średni wydruk wyników z badania na dowolnej drukarce pracującej w sieci informatycznej placówki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21.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Mo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żliwość współpracy z drukarkami bezprzewodowymi.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22.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Waga analizatora poni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żej 1 kg.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38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23.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u w:val="single"/>
                <w:shd w:fill="FFFFFF" w:val="clear"/>
              </w:rPr>
              <w:t xml:space="preserve">Wbudowana bateria oraz praca na baterii.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438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7" w:hRule="auto"/>
          <w:jc w:val="center"/>
        </w:trPr>
        <w:tc>
          <w:tcPr>
            <w:tcW w:w="653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24</w:t>
            </w:r>
          </w:p>
        </w:tc>
        <w:tc>
          <w:tcPr>
            <w:tcW w:w="6436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Gwarancja min 36 miesi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ęcy</w:t>
            </w:r>
          </w:p>
        </w:tc>
        <w:tc>
          <w:tcPr>
            <w:tcW w:w="1701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TAK</w:t>
            </w:r>
          </w:p>
        </w:tc>
        <w:tc>
          <w:tcPr>
            <w:tcW w:w="1847" w:type="dxa"/>
            <w:tcBorders>
              <w:top w:val="single" w:color="00000a" w:sz="4"/>
              <w:left w:val="single" w:color="00000a" w:sz="4"/>
              <w:bottom w:val="single" w:color="000000" w:sz="0"/>
              <w:right w:val="single" w:color="00000a" w:sz="4"/>
            </w:tcBorders>
            <w:shd w:color="auto" w:fill="ffffff" w:val="clear"/>
            <w:tcMar>
              <w:left w:w="2" w:type="dxa"/>
              <w:right w:w="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